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50A" w:rsidRDefault="008121ED">
      <w:pPr>
        <w:spacing w:line="380" w:lineRule="exact"/>
      </w:pPr>
      <w:r>
        <w:rPr>
          <w:rFonts w:ascii="宋体" w:hAnsi="宋体" w:hint="eastAsia"/>
          <w:bCs/>
          <w:color w:val="000000"/>
          <w:szCs w:val="21"/>
        </w:rPr>
        <w:t>附件</w:t>
      </w:r>
      <w:r>
        <w:rPr>
          <w:rFonts w:ascii="宋体" w:hAnsi="宋体" w:hint="eastAsia"/>
          <w:bCs/>
          <w:color w:val="000000"/>
          <w:szCs w:val="21"/>
        </w:rPr>
        <w:t xml:space="preserve">1: </w:t>
      </w:r>
      <w:r>
        <w:rPr>
          <w:rFonts w:ascii="宋体" w:hAnsi="宋体" w:hint="eastAsia"/>
          <w:b/>
          <w:color w:val="000000"/>
          <w:sz w:val="24"/>
          <w:szCs w:val="24"/>
        </w:rPr>
        <w:t>招标物资</w:t>
      </w:r>
      <w:r>
        <w:rPr>
          <w:rFonts w:ascii="宋体" w:hAnsi="宋体" w:hint="eastAsia"/>
          <w:b/>
          <w:sz w:val="24"/>
        </w:rPr>
        <w:t>包件清单及投标人资格要求</w:t>
      </w:r>
    </w:p>
    <w:tbl>
      <w:tblPr>
        <w:tblW w:w="14100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765"/>
        <w:gridCol w:w="975"/>
        <w:gridCol w:w="1010"/>
        <w:gridCol w:w="795"/>
        <w:gridCol w:w="1095"/>
        <w:gridCol w:w="1245"/>
        <w:gridCol w:w="1150"/>
        <w:gridCol w:w="1125"/>
        <w:gridCol w:w="5281"/>
      </w:tblGrid>
      <w:tr w:rsidR="00BE350A">
        <w:trPr>
          <w:trHeight w:val="948"/>
        </w:trPr>
        <w:tc>
          <w:tcPr>
            <w:tcW w:w="659" w:type="dxa"/>
            <w:vAlign w:val="center"/>
          </w:tcPr>
          <w:p w:rsidR="00BE350A" w:rsidRDefault="008121E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BE350A" w:rsidRDefault="008121E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包件号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BE350A" w:rsidRDefault="008121E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BE350A" w:rsidRDefault="008121E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795" w:type="dxa"/>
            <w:vAlign w:val="center"/>
          </w:tcPr>
          <w:p w:rsidR="00BE350A" w:rsidRDefault="008121E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计量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1095" w:type="dxa"/>
            <w:vAlign w:val="center"/>
          </w:tcPr>
          <w:p w:rsidR="00BE350A" w:rsidRDefault="008121E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包件数量</w:t>
            </w:r>
          </w:p>
        </w:tc>
        <w:tc>
          <w:tcPr>
            <w:tcW w:w="1245" w:type="dxa"/>
            <w:vAlign w:val="center"/>
          </w:tcPr>
          <w:p w:rsidR="00BE350A" w:rsidRDefault="008121E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交货地点</w:t>
            </w:r>
          </w:p>
        </w:tc>
        <w:tc>
          <w:tcPr>
            <w:tcW w:w="1150" w:type="dxa"/>
            <w:vAlign w:val="center"/>
          </w:tcPr>
          <w:p w:rsidR="00BE350A" w:rsidRDefault="008121E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包件售价（元）</w:t>
            </w:r>
          </w:p>
        </w:tc>
        <w:tc>
          <w:tcPr>
            <w:tcW w:w="1125" w:type="dxa"/>
            <w:vAlign w:val="center"/>
          </w:tcPr>
          <w:p w:rsidR="00BE350A" w:rsidRDefault="008121E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投标保证金（万元）</w:t>
            </w:r>
          </w:p>
        </w:tc>
        <w:tc>
          <w:tcPr>
            <w:tcW w:w="5281" w:type="dxa"/>
            <w:vAlign w:val="center"/>
          </w:tcPr>
          <w:p w:rsidR="00BE350A" w:rsidRDefault="008121E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投标人资格条件</w:t>
            </w:r>
          </w:p>
        </w:tc>
      </w:tr>
      <w:tr w:rsidR="00BE350A">
        <w:trPr>
          <w:trHeight w:hRule="exact" w:val="807"/>
        </w:trPr>
        <w:tc>
          <w:tcPr>
            <w:tcW w:w="659" w:type="dxa"/>
            <w:vAlign w:val="center"/>
          </w:tcPr>
          <w:p w:rsidR="00BE350A" w:rsidRDefault="008121E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BE350A" w:rsidRDefault="008121E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HS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BE350A" w:rsidRDefault="008121E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黄沙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BE350A" w:rsidRDefault="008121E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中粗</w:t>
            </w:r>
          </w:p>
        </w:tc>
        <w:tc>
          <w:tcPr>
            <w:tcW w:w="795" w:type="dxa"/>
            <w:vAlign w:val="center"/>
          </w:tcPr>
          <w:p w:rsidR="00BE350A" w:rsidRDefault="008121E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m</w:t>
            </w:r>
            <w:r>
              <w:rPr>
                <w:rFonts w:ascii="宋体" w:eastAsia="宋体" w:hAnsi="宋体" w:cs="宋体" w:hint="eastAsia"/>
                <w:szCs w:val="21"/>
                <w:vertAlign w:val="superscript"/>
              </w:rPr>
              <w:t>3</w:t>
            </w:r>
          </w:p>
        </w:tc>
        <w:tc>
          <w:tcPr>
            <w:tcW w:w="1095" w:type="dxa"/>
            <w:vAlign w:val="center"/>
          </w:tcPr>
          <w:p w:rsidR="00BE350A" w:rsidRDefault="00812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30000</w:t>
            </w:r>
          </w:p>
        </w:tc>
        <w:tc>
          <w:tcPr>
            <w:tcW w:w="1245" w:type="dxa"/>
            <w:vAlign w:val="center"/>
          </w:tcPr>
          <w:p w:rsidR="00BE350A" w:rsidRDefault="008121E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号拌合站</w:t>
            </w:r>
          </w:p>
        </w:tc>
        <w:tc>
          <w:tcPr>
            <w:tcW w:w="1150" w:type="dxa"/>
            <w:vAlign w:val="center"/>
          </w:tcPr>
          <w:p w:rsidR="00BE350A" w:rsidRDefault="008121E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1125" w:type="dxa"/>
            <w:vAlign w:val="center"/>
          </w:tcPr>
          <w:p w:rsidR="00BE350A" w:rsidRDefault="008121E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281" w:type="dxa"/>
            <w:vMerge w:val="restart"/>
            <w:vAlign w:val="center"/>
          </w:tcPr>
          <w:p w:rsidR="00BE350A" w:rsidRDefault="008121ED">
            <w:pPr>
              <w:spacing w:line="280" w:lineRule="exact"/>
              <w:rPr>
                <w:rFonts w:ascii="宋体" w:eastAsia="宋体" w:hAnsi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营业范围要求：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投标人必须是经国家工商、税务机关登记注册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符合投标项目经营范围，具备独立法人资格的生产企业或代理商。</w:t>
            </w:r>
          </w:p>
          <w:p w:rsidR="00BE350A" w:rsidRDefault="008121ED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sz w:val="18"/>
                <w:szCs w:val="18"/>
              </w:rPr>
              <w:t>生产能力要求：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砂石料具有合格的专业生产设备、所投标产品的生产能力。所投标产品的生产能力和国家规定标准的检测能力及检测报告，具有生产或销售许可证。</w:t>
            </w:r>
          </w:p>
          <w:p w:rsidR="00BE350A" w:rsidRDefault="008121ED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sz w:val="18"/>
                <w:szCs w:val="18"/>
              </w:rPr>
              <w:t>财务能力要求：具有良好的资金财务状况，生产商注册资金达到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万元及以上，供应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商注册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资金达到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万元及以上，具备实施本项目合同充足的资金保障能力。</w:t>
            </w:r>
          </w:p>
          <w:p w:rsidR="00BE350A" w:rsidRDefault="008121ED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供货业绩：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具备良好的供货业绩和履约良好的相关证明资料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。</w:t>
            </w:r>
          </w:p>
          <w:p w:rsidR="00BE350A" w:rsidRDefault="008121ED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质量保证要求：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有完善的产品质量保证体系和管理制度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具有近三年的专业检测机构出具的投标物资合格检测报告。</w:t>
            </w:r>
          </w:p>
          <w:p w:rsidR="00BE350A" w:rsidRDefault="008121ED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6.</w:t>
            </w:r>
            <w:r>
              <w:rPr>
                <w:rFonts w:ascii="宋体" w:hAnsi="宋体" w:hint="eastAsia"/>
                <w:sz w:val="18"/>
                <w:szCs w:val="18"/>
              </w:rPr>
              <w:t>信用要求：信用良好，无合同违约现象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BE350A" w:rsidRDefault="008121ED">
            <w:pPr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其他：</w:t>
            </w: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18"/>
                <w:szCs w:val="18"/>
              </w:rPr>
              <w:t>代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理商须具有满足</w:t>
            </w:r>
            <w:proofErr w:type="gramStart"/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本资格</w:t>
            </w:r>
            <w:proofErr w:type="gramEnd"/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条件要求的生产厂出具的针对投标包件唯一授权函，生产厂与授权的代理商不得参与同一包件的投标。</w:t>
            </w:r>
          </w:p>
        </w:tc>
      </w:tr>
      <w:tr w:rsidR="00BE350A">
        <w:trPr>
          <w:trHeight w:hRule="exact" w:val="742"/>
        </w:trPr>
        <w:tc>
          <w:tcPr>
            <w:tcW w:w="659" w:type="dxa"/>
            <w:vAlign w:val="center"/>
          </w:tcPr>
          <w:p w:rsidR="00BE350A" w:rsidRDefault="008121E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vMerge w:val="restart"/>
            <w:tcBorders>
              <w:right w:val="single" w:sz="4" w:space="0" w:color="auto"/>
            </w:tcBorders>
            <w:vAlign w:val="center"/>
          </w:tcPr>
          <w:p w:rsidR="00BE350A" w:rsidRDefault="008121E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02-SS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BE350A" w:rsidRDefault="008121ED">
            <w:pPr>
              <w:ind w:firstLineChars="100" w:firstLine="18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水洗砂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BE350A" w:rsidRDefault="008121ED">
            <w:pPr>
              <w:ind w:firstLineChars="100" w:firstLine="18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中粗</w:t>
            </w:r>
          </w:p>
        </w:tc>
        <w:tc>
          <w:tcPr>
            <w:tcW w:w="795" w:type="dxa"/>
            <w:vAlign w:val="center"/>
          </w:tcPr>
          <w:p w:rsidR="00BE350A" w:rsidRDefault="008121E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m</w:t>
            </w:r>
            <w:r>
              <w:rPr>
                <w:rFonts w:ascii="宋体" w:eastAsia="宋体" w:hAnsi="宋体" w:cs="宋体" w:hint="eastAsia"/>
                <w:szCs w:val="21"/>
                <w:vertAlign w:val="superscript"/>
              </w:rPr>
              <w:t>3</w:t>
            </w:r>
          </w:p>
        </w:tc>
        <w:tc>
          <w:tcPr>
            <w:tcW w:w="1095" w:type="dxa"/>
            <w:vAlign w:val="center"/>
          </w:tcPr>
          <w:p w:rsidR="00BE350A" w:rsidRDefault="00812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100000</w:t>
            </w:r>
          </w:p>
        </w:tc>
        <w:tc>
          <w:tcPr>
            <w:tcW w:w="1245" w:type="dxa"/>
            <w:vMerge w:val="restart"/>
            <w:vAlign w:val="center"/>
          </w:tcPr>
          <w:p w:rsidR="00BE350A" w:rsidRDefault="008121E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号拌合站</w:t>
            </w:r>
          </w:p>
        </w:tc>
        <w:tc>
          <w:tcPr>
            <w:tcW w:w="1150" w:type="dxa"/>
            <w:vMerge w:val="restart"/>
            <w:vAlign w:val="center"/>
          </w:tcPr>
          <w:p w:rsidR="00BE350A" w:rsidRDefault="008121E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1125" w:type="dxa"/>
            <w:vMerge w:val="restart"/>
            <w:vAlign w:val="center"/>
          </w:tcPr>
          <w:p w:rsidR="00BE350A" w:rsidRDefault="008121E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281" w:type="dxa"/>
            <w:vMerge/>
            <w:vAlign w:val="center"/>
          </w:tcPr>
          <w:p w:rsidR="00BE350A" w:rsidRDefault="00BE350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E350A">
        <w:trPr>
          <w:trHeight w:hRule="exact" w:val="772"/>
        </w:trPr>
        <w:tc>
          <w:tcPr>
            <w:tcW w:w="659" w:type="dxa"/>
            <w:vAlign w:val="center"/>
          </w:tcPr>
          <w:p w:rsidR="00BE350A" w:rsidRDefault="008121E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BE350A" w:rsidRDefault="00BE350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BE350A" w:rsidRDefault="008121ED">
            <w:pPr>
              <w:ind w:firstLineChars="100" w:firstLine="18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河砂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BE350A" w:rsidRDefault="008121ED">
            <w:pPr>
              <w:ind w:firstLineChars="100" w:firstLine="18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中粗</w:t>
            </w:r>
          </w:p>
        </w:tc>
        <w:tc>
          <w:tcPr>
            <w:tcW w:w="795" w:type="dxa"/>
            <w:vAlign w:val="center"/>
          </w:tcPr>
          <w:p w:rsidR="00BE350A" w:rsidRDefault="008121E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m</w:t>
            </w:r>
            <w:r>
              <w:rPr>
                <w:rFonts w:ascii="宋体" w:eastAsia="宋体" w:hAnsi="宋体" w:cs="宋体" w:hint="eastAsia"/>
                <w:szCs w:val="21"/>
                <w:vertAlign w:val="superscript"/>
              </w:rPr>
              <w:t>3</w:t>
            </w:r>
          </w:p>
        </w:tc>
        <w:tc>
          <w:tcPr>
            <w:tcW w:w="1095" w:type="dxa"/>
            <w:vAlign w:val="center"/>
          </w:tcPr>
          <w:p w:rsidR="00BE350A" w:rsidRDefault="00812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150000</w:t>
            </w:r>
          </w:p>
        </w:tc>
        <w:tc>
          <w:tcPr>
            <w:tcW w:w="1245" w:type="dxa"/>
            <w:vMerge/>
            <w:vAlign w:val="center"/>
          </w:tcPr>
          <w:p w:rsidR="00BE350A" w:rsidRDefault="00BE350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vMerge/>
            <w:vAlign w:val="center"/>
          </w:tcPr>
          <w:p w:rsidR="00BE350A" w:rsidRDefault="00BE350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BE350A" w:rsidRDefault="00BE350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1" w:type="dxa"/>
            <w:vMerge/>
            <w:vAlign w:val="center"/>
          </w:tcPr>
          <w:p w:rsidR="00BE350A" w:rsidRDefault="00BE350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E350A">
        <w:trPr>
          <w:trHeight w:hRule="exact" w:val="697"/>
        </w:trPr>
        <w:tc>
          <w:tcPr>
            <w:tcW w:w="659" w:type="dxa"/>
            <w:vAlign w:val="center"/>
          </w:tcPr>
          <w:p w:rsidR="00BE350A" w:rsidRDefault="008121E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BE350A" w:rsidRDefault="00BE350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BE350A" w:rsidRDefault="008121ED">
            <w:pPr>
              <w:ind w:firstLineChars="100" w:firstLine="18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黄沙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BE350A" w:rsidRDefault="008121ED">
            <w:pPr>
              <w:ind w:firstLineChars="100" w:firstLine="18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中粗</w:t>
            </w:r>
          </w:p>
        </w:tc>
        <w:tc>
          <w:tcPr>
            <w:tcW w:w="795" w:type="dxa"/>
            <w:vAlign w:val="center"/>
          </w:tcPr>
          <w:p w:rsidR="00BE350A" w:rsidRDefault="008121E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m</w:t>
            </w:r>
            <w:r>
              <w:rPr>
                <w:rFonts w:ascii="宋体" w:eastAsia="宋体" w:hAnsi="宋体" w:cs="宋体" w:hint="eastAsia"/>
                <w:szCs w:val="21"/>
                <w:vertAlign w:val="superscript"/>
              </w:rPr>
              <w:t>3</w:t>
            </w:r>
          </w:p>
        </w:tc>
        <w:tc>
          <w:tcPr>
            <w:tcW w:w="1095" w:type="dxa"/>
            <w:vAlign w:val="center"/>
          </w:tcPr>
          <w:p w:rsidR="00BE350A" w:rsidRDefault="00812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30000</w:t>
            </w:r>
          </w:p>
        </w:tc>
        <w:tc>
          <w:tcPr>
            <w:tcW w:w="1245" w:type="dxa"/>
            <w:vMerge/>
            <w:vAlign w:val="center"/>
          </w:tcPr>
          <w:p w:rsidR="00BE350A" w:rsidRDefault="00BE350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vMerge/>
            <w:vAlign w:val="center"/>
          </w:tcPr>
          <w:p w:rsidR="00BE350A" w:rsidRDefault="00BE350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BE350A" w:rsidRDefault="00BE350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1" w:type="dxa"/>
            <w:vMerge/>
            <w:vAlign w:val="center"/>
          </w:tcPr>
          <w:p w:rsidR="00BE350A" w:rsidRDefault="00BE350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E350A">
        <w:trPr>
          <w:trHeight w:hRule="exact" w:val="797"/>
        </w:trPr>
        <w:tc>
          <w:tcPr>
            <w:tcW w:w="659" w:type="dxa"/>
            <w:vAlign w:val="center"/>
          </w:tcPr>
          <w:p w:rsidR="00BE350A" w:rsidRDefault="008121E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BE350A" w:rsidRDefault="00BE350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BE350A" w:rsidRDefault="008121E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碎石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BE350A" w:rsidRDefault="008121ED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5-31.5mm</w:t>
            </w:r>
          </w:p>
        </w:tc>
        <w:tc>
          <w:tcPr>
            <w:tcW w:w="795" w:type="dxa"/>
            <w:vAlign w:val="center"/>
          </w:tcPr>
          <w:p w:rsidR="00BE350A" w:rsidRDefault="008121E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m</w:t>
            </w:r>
            <w:r>
              <w:rPr>
                <w:rFonts w:ascii="宋体" w:eastAsia="宋体" w:hAnsi="宋体" w:cs="宋体" w:hint="eastAsia"/>
                <w:szCs w:val="21"/>
                <w:vertAlign w:val="superscript"/>
              </w:rPr>
              <w:t>3</w:t>
            </w:r>
          </w:p>
        </w:tc>
        <w:tc>
          <w:tcPr>
            <w:tcW w:w="1095" w:type="dxa"/>
            <w:vAlign w:val="center"/>
          </w:tcPr>
          <w:p w:rsidR="00BE350A" w:rsidRDefault="00812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250000</w:t>
            </w:r>
          </w:p>
        </w:tc>
        <w:tc>
          <w:tcPr>
            <w:tcW w:w="1245" w:type="dxa"/>
            <w:vMerge/>
            <w:vAlign w:val="center"/>
          </w:tcPr>
          <w:p w:rsidR="00BE350A" w:rsidRDefault="00BE350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vMerge/>
            <w:vAlign w:val="center"/>
          </w:tcPr>
          <w:p w:rsidR="00BE350A" w:rsidRDefault="00BE350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BE350A" w:rsidRDefault="00BE350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1" w:type="dxa"/>
            <w:vMerge/>
            <w:vAlign w:val="center"/>
          </w:tcPr>
          <w:p w:rsidR="00BE350A" w:rsidRDefault="00BE350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E350A">
        <w:trPr>
          <w:trHeight w:hRule="exact" w:val="1237"/>
        </w:trPr>
        <w:tc>
          <w:tcPr>
            <w:tcW w:w="659" w:type="dxa"/>
            <w:vAlign w:val="center"/>
          </w:tcPr>
          <w:p w:rsidR="00BE350A" w:rsidRDefault="008121E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6</w:t>
            </w:r>
          </w:p>
        </w:tc>
        <w:tc>
          <w:tcPr>
            <w:tcW w:w="2750" w:type="dxa"/>
            <w:gridSpan w:val="3"/>
            <w:vAlign w:val="center"/>
          </w:tcPr>
          <w:p w:rsidR="00BE350A" w:rsidRDefault="008121ED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795" w:type="dxa"/>
            <w:vAlign w:val="center"/>
          </w:tcPr>
          <w:p w:rsidR="00BE350A" w:rsidRDefault="008121E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m</w:t>
            </w:r>
            <w:r>
              <w:rPr>
                <w:rFonts w:ascii="宋体" w:eastAsia="宋体" w:hAnsi="宋体" w:cs="宋体" w:hint="eastAsia"/>
                <w:szCs w:val="21"/>
                <w:vertAlign w:val="superscript"/>
              </w:rPr>
              <w:t>3</w:t>
            </w:r>
          </w:p>
        </w:tc>
        <w:tc>
          <w:tcPr>
            <w:tcW w:w="1095" w:type="dxa"/>
            <w:vAlign w:val="center"/>
          </w:tcPr>
          <w:p w:rsidR="00BE350A" w:rsidRDefault="008121E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560000</w:t>
            </w:r>
          </w:p>
        </w:tc>
        <w:tc>
          <w:tcPr>
            <w:tcW w:w="1245" w:type="dxa"/>
            <w:vAlign w:val="center"/>
          </w:tcPr>
          <w:p w:rsidR="00BE350A" w:rsidRDefault="00BE350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BE350A" w:rsidRDefault="00BE350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1" w:type="dxa"/>
            <w:vMerge/>
            <w:vAlign w:val="center"/>
          </w:tcPr>
          <w:p w:rsidR="00BE350A" w:rsidRDefault="00BE350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BE350A" w:rsidRDefault="00BE350A">
      <w:pPr>
        <w:rPr>
          <w:rFonts w:hint="eastAsia"/>
        </w:rPr>
      </w:pPr>
      <w:bookmarkStart w:id="0" w:name="_GoBack"/>
      <w:bookmarkEnd w:id="0"/>
    </w:p>
    <w:sectPr w:rsidR="00BE350A" w:rsidSect="008121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E2B7810"/>
    <w:rsid w:val="008121ED"/>
    <w:rsid w:val="00BE350A"/>
    <w:rsid w:val="5E2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39CCF"/>
  <w15:docId w15:val="{19D20A5B-85F5-44CD-A398-23089FAB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孙建勇</dc:creator>
  <cp:lastModifiedBy>Eddie Chen</cp:lastModifiedBy>
  <cp:revision>2</cp:revision>
  <dcterms:created xsi:type="dcterms:W3CDTF">2017-11-17T06:53:00Z</dcterms:created>
  <dcterms:modified xsi:type="dcterms:W3CDTF">2017-11-20T11:21:00Z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